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16"/>
        <w:gridCol w:w="5062"/>
        <w:gridCol w:w="715"/>
        <w:gridCol w:w="1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blHeader/>
        </w:trPr>
        <w:tc>
          <w:tcPr>
            <w:tcW w:w="8336" w:type="dxa"/>
            <w:gridSpan w:val="4"/>
            <w:shd w:val="clear" w:color="auto" w:fill="auto"/>
            <w:vAlign w:val="center"/>
          </w:tcPr>
          <w:p>
            <w:pPr>
              <w:keepNext w:val="0"/>
              <w:keepLines w:val="0"/>
              <w:widowControl/>
              <w:suppressLineNumbers w:val="0"/>
              <w:jc w:val="center"/>
              <w:textAlignment w:val="center"/>
              <w:rPr>
                <w:rFonts w:ascii="仿宋_GB2312" w:hAnsi="宋体" w:eastAsia="仿宋_GB2312" w:cs="仿宋_GB2312"/>
                <w:b/>
                <w:i w:val="0"/>
                <w:color w:val="000000"/>
                <w:sz w:val="24"/>
                <w:szCs w:val="24"/>
                <w:u w:val="none"/>
              </w:rPr>
            </w:pPr>
            <w:r>
              <w:rPr>
                <w:rFonts w:hint="eastAsia" w:ascii="仿宋_GB2312" w:hAnsi="宋体" w:eastAsia="仿宋_GB2312" w:cs="仿宋_GB2312"/>
                <w:b/>
                <w:i w:val="0"/>
                <w:color w:val="000000"/>
                <w:kern w:val="0"/>
                <w:sz w:val="24"/>
                <w:szCs w:val="24"/>
                <w:u w:val="none"/>
                <w:lang w:val="en-US" w:eastAsia="zh-CN" w:bidi="ar"/>
              </w:rPr>
              <w:t>一标工程量清单表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1016" w:type="dxa"/>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5062" w:type="dxa"/>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715" w:type="dxa"/>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shd w:val="clear" w:color="auto" w:fill="auto"/>
            <w:vAlign w:val="center"/>
          </w:tcPr>
          <w:p>
            <w:pPr>
              <w:jc w:val="center"/>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83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2016年巴彦淖尔市杭锦后旗蛮会镇红丰村和民富村高标准基本农田整治项目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序号</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单项名称</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单位</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土地平整工程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113635.93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田块平整工程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61097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1</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8707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2</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18334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3</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74KW推土机平整场区 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12943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田间积土和废弃渠沟路工程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52538.93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田块3 积土清运(0.5～1.0km)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104.20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田块4 积土清运(0.5～1.0km)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406.20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田块5 积土清运(0.5～1.0km)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2077.80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田块6 积土清运(1.0～1.5km)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11967.80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田块1 废弃毛渠清运(0.5～1.0km)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3180.78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田块2 废弃毛渠清运(0.5～1.0km)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2426.79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田块4 废弃毛渠清运(0.5～1.0km)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4702.29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田块5 废弃毛渠清运(0.5～1.0km)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3862.20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田块6 废弃毛渠清运(1.0～1.5km)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2301.33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2.10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田块2 废弃毛沟推平(0～10m)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609.03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2.11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田块4 废弃毛沟推平(0～10m)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5163.69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2.12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田块5 废弃毛沟推平(0～10m)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9388.71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2.13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田块6 废弃毛沟推平(0～10m)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3953.67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2.14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田块1 废弃生产路(0.5～1.0km)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944.26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2.15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田块4 废弃生产路(0.5～1.0km)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522.04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2.16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田块5 废弃生产路(0.5～1.0km)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928.14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灌溉与排水工程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西大边农渠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进水闸、节制闸钢砼结构拆除及弃渣（6座）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桥涵钢砼和砌石结构拆除及弃渣（6座）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新开毛渠（3条）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1413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五社东边农渠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48.91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1416.00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212.78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62"/>
                <w:rFonts w:hAnsi="宋体"/>
                <w:lang w:val="en-US" w:eastAsia="zh-CN" w:bidi="ar"/>
              </w:rPr>
              <w:t>3</w:t>
            </w:r>
            <w:r>
              <w:rPr>
                <w:rStyle w:val="63"/>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1416.00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进水闸、节制闸钢砼结构拆除及弃渣（4座）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桥涵钢砼和砌石结构拆除及弃渣（1座）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新开毛渠（5条）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1336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渡槽南边农渠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38.52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52.97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1766.00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265.36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62"/>
                <w:rFonts w:hAnsi="宋体"/>
                <w:lang w:val="en-US" w:eastAsia="zh-CN" w:bidi="ar"/>
              </w:rPr>
              <w:t>3</w:t>
            </w:r>
            <w:r>
              <w:rPr>
                <w:rStyle w:val="63"/>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1766.00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进水闸、节制闸钢砼结构拆除及弃渣（10座）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桥涵钢砼和砌石结构拆除及弃渣（2座）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新开毛渠（4条）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Φ80×4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红丰边农渠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进水闸、节制闸钢砼结构拆除及弃渣（5座）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桥涵钢砼和砌石结构拆除及弃渣（1座）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新开毛渠（4条）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1902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Φ60×6</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五社农渠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外运土(1.5～2.0km)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774.00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69.99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2333.00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350.67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62"/>
                <w:rFonts w:hAnsi="宋体"/>
                <w:lang w:val="en-US" w:eastAsia="zh-CN" w:bidi="ar"/>
              </w:rPr>
              <w:t>3</w:t>
            </w:r>
            <w:r>
              <w:rPr>
                <w:rStyle w:val="63"/>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2333.00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进水闸、节制闸钢砼结构拆除及弃渣（5座）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桥涵钢砼和砌石结构拆除及弃渣（2座）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新开毛渠（6条）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外运土(1.5～2.0km)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Φ80×4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吴口农渠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1404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101.09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101.09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144.61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4774.00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728.68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62"/>
                <w:rFonts w:hAnsi="宋体"/>
                <w:lang w:val="en-US" w:eastAsia="zh-CN" w:bidi="ar"/>
              </w:rPr>
              <w:t>3</w:t>
            </w:r>
            <w:r>
              <w:rPr>
                <w:rStyle w:val="63"/>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4774.00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868.00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进水闸、节制闸钢砼结构拆除及弃渣（15座）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桥涵钢砼和砌石结构拆除及弃渣（5座）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新开毛渠（8条）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3730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外运土(1.5～2.0km)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3730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Φ80×4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1085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弃土(0.5～1.0km)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55.34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105.25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78.12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125.86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4232.00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636.90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5cm保温板(20kg/m</w:t>
            </w:r>
            <w:r>
              <w:rPr>
                <w:rStyle w:val="62"/>
                <w:rFonts w:hAnsi="宋体"/>
                <w:lang w:val="en-US" w:eastAsia="zh-CN" w:bidi="ar"/>
              </w:rPr>
              <w:t>3</w:t>
            </w:r>
            <w:r>
              <w:rPr>
                <w:rStyle w:val="63"/>
                <w:rFonts w:hAnsi="宋体"/>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4232.00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进水闸、节制闸钢砼结构拆除及弃渣（13座）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桥涵钢砼和砌石结构拆除及弃渣（5座）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新开毛渠（6条）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4930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闸门、启闭机及钢排架安装（1.0×0.8）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吴牛农渠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现状衬砌渠道建筑物拆除后维修预制板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进水闸、节制闸钢砼结构拆除及弃渣（9座）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桥涵钢砼和砌石结构拆除及弃渣（3座）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新开毛渠（6条）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4007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26.40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0.226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涵管桥 Φ80×4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交界农沟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交界农沟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704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沟道土方开挖及整形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1134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新开毛沟（1条）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303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毛沟土方开挖及整形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1124.74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砼Φ80×6（L=8m）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9.3.9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交叉涵洞 砼Φ80×16（L=8m）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8.78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西大边农沟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10.1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西大边农沟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580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10.1.1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沟道土方开挖及整形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1827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10.2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新开毛沟（2条）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毛沟土方开挖及整形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1659.26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红丰五社斗沟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红丰五社斗沟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1723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沟道土方开挖及整形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3812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新开毛沟（6条）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3087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毛沟土方开挖及整形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11458.94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枕梁桥 4×5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C20砼挡土墙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C20砼基础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C25钢筋砼枕梁</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C30钢筋砼枕梁桥面板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7.30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C35钢筋砼桥面板铺装层(100mm厚)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钢护栏（含预埋件）</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C20混凝土基础（限载牌）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铝合金牌（限载牌）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11.3.15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Φ60 钢管（限载牌）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砼Φ100×6（L=8m）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11.46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53.94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25.56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购置、安装混凝土管Φ100-Ⅱ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11.4.9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吴口农沟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吴口农沟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1321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沟道土方开挖及整形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4232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新开毛沟（5条）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4273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毛沟土方开挖及整形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15861.38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12.3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砼Φ80×6（L=8m）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12.3.9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13.1.1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沟道土方开挖及整形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2189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新开毛沟（4条）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2686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毛沟土方开挖及整形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9970.43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排沟桥 砼Φ80×6（L=8m）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13.3.7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13.3.8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13.3.9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三</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田间道路工程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30237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五社斗沟田间道（路面宽4m）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5400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1189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4756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吴牛农渠田间道（路面宽4m）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1088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4352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红星斗渠区域生产路（2条 田块1）</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906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1812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交界农沟区域生产路（5条 田块2）</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1625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3250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红丰边农渠区域生产路（3条 田块3）</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五社斗沟区域生产路（22条 田块4）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8836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17672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新农渠区域生产路（10条 田块5）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8577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8.2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17154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吴牛农渠区域生产路（9条 田块6）</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6048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12096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四</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农田防护与生态环境保持工程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000000"/>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植树沟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m</w:t>
            </w:r>
            <w:r>
              <w:rPr>
                <w:rStyle w:val="61"/>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6680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红丰村植树沟土方量</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m</w:t>
            </w:r>
            <w:r>
              <w:rPr>
                <w:rStyle w:val="62"/>
                <w:rFonts w:hAnsi="宋体"/>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6680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栽植新疆杨（胸径＞3cm）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株</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000000"/>
                <w:sz w:val="18"/>
                <w:szCs w:val="18"/>
                <w:u w:val="none"/>
              </w:rPr>
            </w:pPr>
            <w:r>
              <w:rPr>
                <w:rFonts w:hint="eastAsia" w:ascii="仿宋_GB2312" w:hAnsi="宋体" w:eastAsia="仿宋_GB2312" w:cs="仿宋_GB2312"/>
                <w:b/>
                <w:i w:val="0"/>
                <w:color w:val="000000"/>
                <w:kern w:val="0"/>
                <w:sz w:val="18"/>
                <w:szCs w:val="18"/>
                <w:u w:val="none"/>
                <w:lang w:val="en-US" w:eastAsia="zh-CN" w:bidi="ar"/>
              </w:rPr>
              <w:t xml:space="preserve">8980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红丰村新疆杨</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株</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8980 </w:t>
            </w:r>
          </w:p>
        </w:tc>
      </w:tr>
    </w:tbl>
    <w:p>
      <w:pPr>
        <w:rPr>
          <w:rFonts w:hint="eastAsia"/>
        </w:rPr>
      </w:pPr>
    </w:p>
    <w:p>
      <w:pPr>
        <w:rPr>
          <w:rFonts w:hint="eastAsia"/>
        </w:rPr>
      </w:pPr>
    </w:p>
    <w:tbl>
      <w:tblPr>
        <w:tblStyle w:val="7"/>
        <w:tblW w:w="8522" w:type="dxa"/>
        <w:tblInd w:w="0" w:type="dxa"/>
        <w:tblLayout w:type="fixed"/>
        <w:tblCellMar>
          <w:top w:w="0" w:type="dxa"/>
          <w:left w:w="108" w:type="dxa"/>
          <w:bottom w:w="0" w:type="dxa"/>
          <w:right w:w="108" w:type="dxa"/>
        </w:tblCellMar>
      </w:tblPr>
      <w:tblGrid>
        <w:gridCol w:w="671"/>
        <w:gridCol w:w="5212"/>
        <w:gridCol w:w="1297"/>
        <w:gridCol w:w="672"/>
        <w:gridCol w:w="670"/>
      </w:tblGrid>
      <w:tr>
        <w:tblPrEx>
          <w:tblLayout w:type="fixed"/>
          <w:tblCellMar>
            <w:top w:w="0" w:type="dxa"/>
            <w:left w:w="108" w:type="dxa"/>
            <w:bottom w:w="0" w:type="dxa"/>
            <w:right w:w="108" w:type="dxa"/>
          </w:tblCellMar>
        </w:tblPrEx>
        <w:trPr>
          <w:trHeight w:val="300" w:hRule="atLeast"/>
        </w:trPr>
        <w:tc>
          <w:tcPr>
            <w:tcW w:w="8522" w:type="dxa"/>
            <w:gridSpan w:val="5"/>
            <w:tcBorders>
              <w:top w:val="nil"/>
              <w:left w:val="nil"/>
              <w:bottom w:val="nil"/>
              <w:right w:val="nil"/>
            </w:tcBorders>
            <w:shd w:val="clear" w:color="auto" w:fill="auto"/>
            <w:vAlign w:val="center"/>
          </w:tcPr>
          <w:p>
            <w:pPr>
              <w:widowControl/>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设备清单表</w:t>
            </w:r>
          </w:p>
        </w:tc>
      </w:tr>
      <w:tr>
        <w:tblPrEx>
          <w:tblLayout w:type="fixed"/>
          <w:tblCellMar>
            <w:top w:w="0" w:type="dxa"/>
            <w:left w:w="108" w:type="dxa"/>
            <w:bottom w:w="0" w:type="dxa"/>
            <w:right w:w="108" w:type="dxa"/>
          </w:tblCellMar>
        </w:tblPrEx>
        <w:trPr>
          <w:trHeight w:val="300" w:hRule="atLeast"/>
        </w:trPr>
        <w:tc>
          <w:tcPr>
            <w:tcW w:w="5883" w:type="dxa"/>
            <w:gridSpan w:val="2"/>
            <w:tcBorders>
              <w:top w:val="nil"/>
              <w:left w:val="nil"/>
              <w:bottom w:val="single" w:color="auto" w:sz="4" w:space="0"/>
              <w:right w:val="nil"/>
            </w:tcBorders>
            <w:shd w:val="clear" w:color="auto" w:fill="auto"/>
            <w:vAlign w:val="center"/>
          </w:tcPr>
          <w:p>
            <w:pPr>
              <w:widowControl/>
              <w:jc w:val="left"/>
              <w:rPr>
                <w:rFonts w:ascii="仿宋_GB2312" w:hAnsi="宋体" w:eastAsia="仿宋_GB2312" w:cs="宋体"/>
                <w:kern w:val="0"/>
                <w:szCs w:val="21"/>
              </w:rPr>
            </w:pPr>
          </w:p>
        </w:tc>
        <w:tc>
          <w:tcPr>
            <w:tcW w:w="1297"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c>
          <w:tcPr>
            <w:tcW w:w="672"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c>
          <w:tcPr>
            <w:tcW w:w="670"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12" w:hRule="atLeast"/>
        </w:trPr>
        <w:tc>
          <w:tcPr>
            <w:tcW w:w="6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bookmarkStart w:id="0" w:name="_GoBack" w:colFirst="0" w:colLast="4"/>
            <w:r>
              <w:rPr>
                <w:rFonts w:hint="eastAsia" w:ascii="仿宋_GB2312" w:hAnsi="宋体" w:eastAsia="仿宋_GB2312" w:cs="宋体"/>
                <w:kern w:val="0"/>
                <w:sz w:val="18"/>
                <w:szCs w:val="18"/>
              </w:rPr>
              <w:t>序号</w:t>
            </w:r>
          </w:p>
        </w:tc>
        <w:tc>
          <w:tcPr>
            <w:tcW w:w="521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设备名称</w:t>
            </w:r>
          </w:p>
        </w:tc>
        <w:tc>
          <w:tcPr>
            <w:tcW w:w="12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规格</w:t>
            </w:r>
          </w:p>
        </w:tc>
        <w:tc>
          <w:tcPr>
            <w:tcW w:w="6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单位</w:t>
            </w:r>
          </w:p>
        </w:tc>
        <w:tc>
          <w:tcPr>
            <w:tcW w:w="6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数量</w:t>
            </w:r>
          </w:p>
        </w:tc>
      </w:tr>
      <w:tr>
        <w:tblPrEx>
          <w:tblLayout w:type="fixed"/>
          <w:tblCellMar>
            <w:top w:w="0" w:type="dxa"/>
            <w:left w:w="108" w:type="dxa"/>
            <w:bottom w:w="0" w:type="dxa"/>
            <w:right w:w="108" w:type="dxa"/>
          </w:tblCellMar>
        </w:tblPrEx>
        <w:trPr>
          <w:trHeight w:val="312" w:hRule="atLeast"/>
        </w:trPr>
        <w:tc>
          <w:tcPr>
            <w:tcW w:w="6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521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18"/>
                <w:szCs w:val="18"/>
              </w:rPr>
            </w:pPr>
          </w:p>
        </w:tc>
        <w:tc>
          <w:tcPr>
            <w:tcW w:w="12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7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QLC2.0t启闭机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QLC2.0t启闭机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0.8×1.0</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5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QLC1.0t启闭机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0.6×0.8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8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QLC0.5t启闭机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0.4×0.8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42 </w:t>
            </w:r>
          </w:p>
        </w:tc>
      </w:tr>
      <w:tr>
        <w:tblPrEx>
          <w:tblLayout w:type="fixed"/>
          <w:tblCellMar>
            <w:top w:w="0" w:type="dxa"/>
            <w:left w:w="108" w:type="dxa"/>
            <w:bottom w:w="0" w:type="dxa"/>
            <w:right w:w="108" w:type="dxa"/>
          </w:tblCellMar>
        </w:tblPrEx>
        <w:trPr>
          <w:trHeight w:val="300" w:hRule="atLeast"/>
        </w:trPr>
        <w:tc>
          <w:tcPr>
            <w:tcW w:w="785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合计</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57 </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50EFD"/>
    <w:rsid w:val="00750EFD"/>
    <w:rsid w:val="11FF1FD1"/>
    <w:rsid w:val="22C05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800080"/>
      <w:u w:val="single"/>
    </w:rPr>
  </w:style>
  <w:style w:type="character" w:styleId="6">
    <w:name w:val="Hyperlink"/>
    <w:basedOn w:val="4"/>
    <w:unhideWhenUsed/>
    <w:qFormat/>
    <w:uiPriority w:val="99"/>
    <w:rPr>
      <w:color w:val="0000FF"/>
      <w:u w:val="single"/>
    </w:r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 w:type="paragraph" w:customStyle="1" w:styleId="10">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1">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2">
    <w:name w:val="font7"/>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13">
    <w:name w:val="font8"/>
    <w:basedOn w:val="1"/>
    <w:qFormat/>
    <w:uiPriority w:val="0"/>
    <w:pPr>
      <w:widowControl/>
      <w:spacing w:before="100" w:beforeAutospacing="1" w:after="100" w:afterAutospacing="1"/>
      <w:jc w:val="left"/>
    </w:pPr>
    <w:rPr>
      <w:rFonts w:ascii="仿宋_GB2312" w:hAnsi="宋体" w:eastAsia="仿宋_GB2312" w:cs="宋体"/>
      <w:b/>
      <w:bCs/>
      <w:kern w:val="0"/>
      <w:sz w:val="18"/>
      <w:szCs w:val="18"/>
    </w:rPr>
  </w:style>
  <w:style w:type="paragraph" w:customStyle="1" w:styleId="14">
    <w:name w:val="font9"/>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15">
    <w:name w:val="font10"/>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6">
    <w:name w:val="xl81"/>
    <w:basedOn w:val="1"/>
    <w:qFormat/>
    <w:uiPriority w:val="0"/>
    <w:pPr>
      <w:widowControl/>
      <w:spacing w:before="100" w:beforeAutospacing="1" w:after="100" w:afterAutospacing="1"/>
      <w:jc w:val="center"/>
    </w:pPr>
    <w:rPr>
      <w:rFonts w:ascii="仿宋_GB2312" w:hAnsi="宋体" w:eastAsia="仿宋_GB2312" w:cs="宋体"/>
      <w:kern w:val="0"/>
      <w:sz w:val="18"/>
      <w:szCs w:val="18"/>
    </w:rPr>
  </w:style>
  <w:style w:type="paragraph" w:customStyle="1" w:styleId="17">
    <w:name w:val="xl82"/>
    <w:basedOn w:val="1"/>
    <w:qFormat/>
    <w:uiPriority w:val="0"/>
    <w:pPr>
      <w:widowControl/>
      <w:spacing w:before="100" w:beforeAutospacing="1" w:after="100" w:afterAutospacing="1"/>
      <w:jc w:val="center"/>
    </w:pPr>
    <w:rPr>
      <w:rFonts w:ascii="仿宋_GB2312" w:hAnsi="宋体" w:eastAsia="仿宋_GB2312" w:cs="宋体"/>
      <w:b/>
      <w:bCs/>
      <w:kern w:val="0"/>
      <w:sz w:val="18"/>
      <w:szCs w:val="18"/>
    </w:rPr>
  </w:style>
  <w:style w:type="paragraph" w:customStyle="1" w:styleId="1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1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2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2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2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2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7">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2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3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3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18"/>
      <w:szCs w:val="18"/>
    </w:rPr>
  </w:style>
  <w:style w:type="paragraph" w:customStyle="1" w:styleId="3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18"/>
      <w:szCs w:val="18"/>
    </w:rPr>
  </w:style>
  <w:style w:type="paragraph" w:customStyle="1" w:styleId="34">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35">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36">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7">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8">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9">
    <w:name w:val="xl104"/>
    <w:basedOn w:val="1"/>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40">
    <w:name w:val="xl105"/>
    <w:basedOn w:val="1"/>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41">
    <w:name w:val="xl106"/>
    <w:basedOn w:val="1"/>
    <w:qFormat/>
    <w:uiPriority w:val="0"/>
    <w:pPr>
      <w:widowControl/>
      <w:spacing w:before="100" w:beforeAutospacing="1" w:after="100" w:afterAutospacing="1"/>
      <w:jc w:val="right"/>
    </w:pPr>
    <w:rPr>
      <w:rFonts w:ascii="仿宋_GB2312" w:hAnsi="宋体" w:eastAsia="仿宋_GB2312" w:cs="宋体"/>
      <w:kern w:val="0"/>
      <w:sz w:val="18"/>
      <w:szCs w:val="18"/>
    </w:rPr>
  </w:style>
  <w:style w:type="paragraph" w:customStyle="1" w:styleId="42">
    <w:name w:val="xl107"/>
    <w:basedOn w:val="1"/>
    <w:uiPriority w:val="0"/>
    <w:pPr>
      <w:widowControl/>
      <w:spacing w:before="100" w:beforeAutospacing="1" w:after="100" w:afterAutospacing="1"/>
      <w:jc w:val="right"/>
    </w:pPr>
    <w:rPr>
      <w:rFonts w:ascii="仿宋_GB2312" w:hAnsi="宋体" w:eastAsia="仿宋_GB2312" w:cs="宋体"/>
      <w:kern w:val="0"/>
      <w:sz w:val="18"/>
      <w:szCs w:val="18"/>
    </w:rPr>
  </w:style>
  <w:style w:type="paragraph" w:customStyle="1" w:styleId="43">
    <w:name w:val="xl10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4">
    <w:name w:val="xl10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5">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6">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47">
    <w:name w:val="xl11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48">
    <w:name w:val="xl11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49">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50">
    <w:name w:val="xl11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1">
    <w:name w:val="xl11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52">
    <w:name w:val="xl11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3">
    <w:name w:val="xl11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4">
    <w:name w:val="xl11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5">
    <w:name w:val="xl12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6">
    <w:name w:val="xl12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57">
    <w:name w:val="xl122"/>
    <w:basedOn w:val="1"/>
    <w:uiPriority w:val="0"/>
    <w:pPr>
      <w:widowControl/>
      <w:spacing w:before="100" w:beforeAutospacing="1" w:after="100" w:afterAutospacing="1"/>
      <w:jc w:val="center"/>
    </w:pPr>
    <w:rPr>
      <w:rFonts w:ascii="仿宋_GB2312" w:hAnsi="宋体" w:eastAsia="仿宋_GB2312" w:cs="宋体"/>
      <w:b/>
      <w:bCs/>
      <w:kern w:val="0"/>
      <w:sz w:val="24"/>
      <w:szCs w:val="24"/>
    </w:rPr>
  </w:style>
  <w:style w:type="paragraph" w:customStyle="1" w:styleId="58">
    <w:name w:val="xl123"/>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9">
    <w:name w:val="xl124"/>
    <w:basedOn w:val="1"/>
    <w:uiPriority w:val="0"/>
    <w:pPr>
      <w:widowControl/>
      <w:pBdr>
        <w:top w:val="single" w:color="auto" w:sz="4" w:space="0"/>
        <w:bottom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60">
    <w:name w:val="xl125"/>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character" w:customStyle="1" w:styleId="61">
    <w:name w:val="font21"/>
    <w:basedOn w:val="4"/>
    <w:qFormat/>
    <w:uiPriority w:val="0"/>
    <w:rPr>
      <w:rFonts w:hint="eastAsia" w:ascii="仿宋_GB2312" w:eastAsia="仿宋_GB2312" w:cs="仿宋_GB2312"/>
      <w:b/>
      <w:color w:val="000000"/>
      <w:sz w:val="18"/>
      <w:szCs w:val="18"/>
      <w:u w:val="none"/>
      <w:vertAlign w:val="superscript"/>
    </w:rPr>
  </w:style>
  <w:style w:type="character" w:customStyle="1" w:styleId="62">
    <w:name w:val="font11"/>
    <w:basedOn w:val="4"/>
    <w:uiPriority w:val="0"/>
    <w:rPr>
      <w:rFonts w:hint="eastAsia" w:ascii="仿宋_GB2312" w:eastAsia="仿宋_GB2312" w:cs="仿宋_GB2312"/>
      <w:color w:val="000000"/>
      <w:sz w:val="18"/>
      <w:szCs w:val="18"/>
      <w:u w:val="none"/>
      <w:vertAlign w:val="superscript"/>
    </w:rPr>
  </w:style>
  <w:style w:type="character" w:customStyle="1" w:styleId="63">
    <w:name w:val="font51"/>
    <w:basedOn w:val="4"/>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17</Pages>
  <Words>2565</Words>
  <Characters>14621</Characters>
  <Lines>121</Lines>
  <Paragraphs>34</Paragraphs>
  <ScaleCrop>false</ScaleCrop>
  <LinksUpToDate>false</LinksUpToDate>
  <CharactersWithSpaces>17152</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2013-08-24T02:39:00Z</dcterms:created>
  <dc:creator>微软用户</dc:creator>
  <cp:lastModifiedBy>Administrator</cp:lastModifiedBy>
  <dcterms:modified xsi:type="dcterms:W3CDTF">2017-11-25T14:10:06Z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